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9.9 -->
  <w:body>
    <w:p>
      <w:pPr>
        <w:pStyle w:val="Heading2"/>
        <w:keepNext w:val="0"/>
        <w:spacing w:before="0" w:after="299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i w:val="0"/>
          <w:iCs w:val="0"/>
          <w:sz w:val="36"/>
          <w:szCs w:val="36"/>
        </w:rPr>
        <w:t>Создание извещения о продаже</w:t>
      </w: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процедуре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Тип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(приватизация)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SBR012-2009280013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Аукцион в электронной форме, открытый по составу участников и по форме подачи заявок предложений о цене имущества, оплата за приватизацию имущества – единовременная в безналичном порядке № АП-04-20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электронной площадки в сети "Интернет"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http://utp.sberbank-ast.ru/AP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регистрации претендентов на ЭП, правила проведения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Определены в регламенте ТС ЭП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Нормативное регулирование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Федеральный закон от 21.12.2001 г. №178-ФЗ, Постановление Правительства РФ №860 от 27.08.2012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об организаторе процедуры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Наименование организатора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организатора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8709008942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870901001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Юридический адрес / Место нахождения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689000, Россия, Чукотский АО, Анадырь г, Рультытегина, д. 1, оф.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Фактический адрес (почтовый)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689000, Россия, Чукотский АО, Анадырь г, Рультытегина, д. 1, оф. -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Адрес электронной почты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finotdel@chukotnet.ru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Номера контактных телефонов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84272263604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Контактное лицо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Тюнягина Юлия Игоревна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12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 xml:space="preserve">Сведения о заказчике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3196"/>
              <w:gridCol w:w="7456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t>Сведения об инициаторе/продавце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Наименование инициатора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Управление финансов, экономики и имущественных отношений Администрации городского округа Анадырь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Полное наименование инициатора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УПРАВЛЕНИЕ ФИНАНСОВ, ЭКОНОМИКИ И ИМУЩЕСТВЕННЫХ ОТНОШЕНИЙ АДМИНИСТРАЦИИ ГОРОДСКОГО ОКРУГА АНАДЫРЬ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ИНН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8709008942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КПП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870901001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Юридический адрес / Место нахождения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689000, Россия, Чукотский АО, Анадырь г, Рультытегина, д. 1, оф. -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 xml:space="preserve">Фактический адрес (почтовый)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689000, Россия, Чукотский АО, Анадырь г, Рультытегина, д. 1, оф. -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-tbl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10742"/>
      </w:tblGrid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6"/>
              </w:rPr>
              <w:t xml:space="preserve">Лоты 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  <w:sz w:val="16"/>
              </w:rPr>
              <w:br/>
            </w:r>
          </w:p>
        </w:tc>
      </w:tr>
      <w:tr>
        <w:tblPrEx>
          <w:tblW w:w="5000" w:type="pct"/>
          <w:tblCellSpacing w:w="15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block"/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2319"/>
              <w:gridCol w:w="8363"/>
            </w:tblGrid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Header/>
              </w:trPr>
              <w:tc>
                <w:tcPr>
                  <w:gridSpan w:val="2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tcBorders>
                  <w:shd w:val="clear" w:color="auto" w:fill="CCCCCC"/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t>Сведения о лоте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Наименование лота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Объект незавершенного строительства (гараж), степень готовности 33%, кадастровый номер 87:05:000011:210 с земельным участком, кадастровый номер 87:05:000011:411, общей площадь 68/69 +/- 3м², адрес: Чукотский автономный округ, г. Анадырь, в районе кадастрового квартала 87:05:000011, ориентир расположения: старое кладбище по ул. Рультытегина, между земельными участками с кадастровыми номерами 87:05:000011:152 и 87:05:000011:154 /ул. Рультытегина, (район старого кладбища)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Статус торгов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Первичные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Информация о предыдущих торгах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d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4244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Информация о ранее проведенных торгах.docx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05.10.2020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Основание для проведения процедуры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Гражданский кодекс Российской Федерации, Федеральным законом от 21 декабря 2001 года № 178-ФЗ «О приватизации государственного и муниципального имущества», постановле-нием Правительства Российской Федерации от 27 августа 2012 года № 860 «Об организации и проведении продажи государ-ственного или муниципального имущества в электронной фор-ме», Решение Совета Депутатов городского округа Анадырь от 12.12.19 №25 «Об утверждении прогнозного Плана (програм-мы) приватизации муниципального имущества городского округа Анадырь на 2020 год и период 2021-2022 годы», Распо-ряжение Управления финансов, экономики и имущественных отношений Администрации городского округа Анадырь от 28.09.2020 № 58 «Об утверждении условий приватизации му-ниципального имущества и о проведении открытого аукциона в электронной форме», регламент электронной площадки «Сбербанк – АСТ»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Описание имущества (объекта) / характеристики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Объект незавершенного строительства (гараж), степень готовности 33%, кадастровый номер 87:05:000011:210 с земельным участком, кадастровый номер 87:05:000011:411, общей пло-щадь 68/69 +/- 3м²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Файл с описанием / характеристиками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tbl>
                  <w:tblPr>
                    <w:tblStyle w:val="dt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5E0"/>
                  </w:tblPr>
                  <w:tblGrid>
                    <w:gridCol w:w="3146"/>
                  </w:tblGrid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гараж Выписка из ЕГРН.pdf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05.10.2020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  <w:tr>
                    <w:tblPrEx>
                      <w:tblCellSpacing w:w="15" w:type="dxa"/>
                      <w:tblCellMar>
                        <w:top w:w="15" w:type="dxa"/>
                        <w:left w:w="15" w:type="dxa"/>
                        <w:bottom w:w="15" w:type="dxa"/>
                        <w:right w:w="15" w:type="dxa"/>
                      </w:tblCellMar>
                      <w:tblLook w:val="05E0"/>
                    </w:tblPrEx>
                    <w:trPr>
                      <w:tblCellSpacing w:w="15" w:type="dxa"/>
                    </w:trPr>
                    <w:tc>
                      <w:tcPr>
                        <w:tcBorders>
                          <w:top w:val="single" w:sz="6" w:space="0" w:color="000000"/>
                          <w:left w:val="single" w:sz="6" w:space="0" w:color="000000"/>
                          <w:bottom w:val="single" w:sz="6" w:space="0" w:color="000000"/>
                          <w:right w:val="single" w:sz="6" w:space="0" w:color="000000"/>
                        </w:tcBorders>
                        <w:noWrap w:val="0"/>
                        <w:tcMar>
                          <w:top w:w="22" w:type="dxa"/>
                          <w:left w:w="22" w:type="dxa"/>
                          <w:bottom w:w="22" w:type="dxa"/>
                          <w:right w:w="22" w:type="dxa"/>
                        </w:tcMar>
                        <w:vAlign w:val="top"/>
                        <w:hideMark/>
                      </w:tcPr>
                      <w:p>
                        <w:pPr>
                          <w:jc w:val="left"/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</w:rPr>
                        </w:pP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зу гараж Выписка из ЕГРН.pdf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t>05.10.2020</w:t>
                        </w:r>
                        <w:r>
                          <w:rPr>
                            <w:rFonts w:ascii="Times New Roman" w:eastAsia="Times New Roman" w:hAnsi="Times New Roman" w:cs="Times New Roman"/>
                            <w:b w:val="0"/>
                            <w:bCs w:val="0"/>
                            <w:i w:val="0"/>
                            <w:iCs w:val="0"/>
                            <w:smallCaps w:val="0"/>
                            <w:color w:val="000000"/>
                            <w:sz w:val="16"/>
                          </w:rPr>
                          <w:br/>
                        </w:r>
                      </w:p>
                    </w:tc>
                  </w:tr>
                </w:tbl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Регион / Местоположение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Чукотский автономный округ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Тип имущества / объекта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Муниципальное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Категория имущества / объекта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Незавершенное строительство, сооружения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Порядок ознакомления с имуществом /объектом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Посредством направления обращения на электронную почту организатора торгов finotdel@chukotnet.ru, представляет про-ект договора купли-продажи (проект Приложение № 3 к изве-щению). Предоставление необходимой информации в отношении объек-та приватизации, проводится в кабинете № 44 и (или) кабинете № 19 здания Администрации городского округа Анадырь по ул. Рультытегина, д. 1, в рабочие дни с 9.00 до 13.00 и с 15.00 до 17.30 время местное, начиная с 05.10.2020 с 09.00 последний день и время приема 16.11.2020 до 18.00 время местное.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Обременения (ограничения)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нет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Валюта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Российский рубль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Начальная цена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557386.00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Шаг торговой сессии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27869.3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Перечисление задатка на счета Оператора электронной площадки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да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Размер задатка, руб.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111477.20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Срок и порядок внесения и возврата задатка. Реквизиты счета для перечисления задатка. Назначение платежа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Порядок возврата задатка (Приложение № 4 к извещению): а) участникам аукциона, за исключением его победителя, - в течение 5 календарных дней со дня подведения итогов аукциона; б) претендентам, не допущенным к участию в аукционе, - в течение 5 календарных дней со дня подписания протокола о при-знании претендентов участниками аукциона; в) при отзыве за-явки, в соответствии с п. 9 ст. 18 ФЗ № 178-фз – в течении 5 дней со дня поступления уведомления об отзыве заявки, а в случае отзыва претендентом заявки позднее даты окончания приема заявок задаток возвращается в порядке, установленном для участников аукциона. При уклонении или отказе победителя аукциона от заключения в установленный срок договора купли-продажи имущества он утрачивает право на заключение указанного договора и задаток ему не возвращается.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воз-вращается. В случае отзыва Претендентом заявки позднее даты окончания приема заявок задаток возвращается в порядке, установленном для участников аукциона.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Срок заключения договора по итогам процедуры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t>*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FF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по результатам аукциона продавец и победитель аукциона (покупатель) в течение 5 рабочих дней со дня подведения итогов аукциона заключают в соответствии с законодательством Российской Федерации в электронной форме договор купли-продажи имущества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Информация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Условия, указанные в извещении, являются условиями публичной оферты в соответствии со статьей 437 Гражданского кодекса Российской Федерации. 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Иная информация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Аукционы открытые по составу участников в отношении имущества - Объект незавершенного строительства (гараж), степень готовности 33%, кадастровый номер 87:05:000011:210 с земельным участком, кадастровый номер 87:05:000011:411, общей площадь 68/69 +/- 3м², адрес: Чукотский автономный округ, г. Анадырь, в районе кадастрового квартала 87:05:000011, ориентир расположения: старое кладбище по ул. Рультытегина, между земельными участками с кадастровыми номерами 87:05:000011:152 и 87:05:000011:154 /ул. Рультытегина, (район старого кладбища) – не проводились.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Номер извещения на сайте www.torgi.gov.ru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051020/0288766/01</w:t>
                  </w:r>
                </w:p>
              </w:tc>
            </w:tr>
            <w:tr>
              <w:tblPrEx>
                <w:tblW w:w="5000" w:type="pct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c>
                <w:tcPr>
                  <w:tcW w:w="1500" w:type="pc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 xml:space="preserve">Ссылка на извещение на сайте www.torgi.gov.ru 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  <w:sz w:val="16"/>
                    </w:rPr>
                    <w:t>https://torgi.gov.ru/restricted/edit/unpublished/edit.html?bidKindId=8%26amp;notificationId=46416325%26amp;prevPageN=426</w:t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Порядок оформления заявок на участие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Требования, предъявляемые к Участнику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принять участие в аукционе могут лица, отвечающие признакам покупателя в соответствии с статьей 5 Федерального закона от 21.12.01 № 178-ФЗ (Приложение № 5 к извещению)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Перечень документов, предоставляемых Участником в составе заявки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юридические лица: заверенные копии учредительных документов; документ, содержаний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 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 физические лица: предъявляют документ, удостоверяющий личность, или представляют копии всех его листов. 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Требование к приложению заявки на участие по форме Организатора процедуры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Требуется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Требования к оформлению представляемых участниками документов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Все листы документов, представляемых одновременно с заявкой, либо отдельные тома данных документов должны быть прошиты, пронумерованы, скреплены печатью претендента (при наличии печати) (для юридического лица) и подписаны претендентом или его представителем. К данным документам (в том числе к каждому тому) также прилагается их опись. Заявка и такая опись составляются в 2-х экз., один из которых остается у продавца, другой - у претендента. Соблюдение претендентом указанных требований означает, что заявка и документы, представляемые одновременно с заявкой, поданы от имени претендента. При этом ненадлежащее исполнение претендентом требования о том, что все листы документов, представляемых одновременно с заявкой, или отдельные тома документов должны быть пронумерованы, не является основанием для отказа претенденту в участии в продаже. Допустимые форматы загружаемых файлов: zip, rar, doc, docx, xls, xlsx, pdf, gif, jpg, jpeg, rtf, png, xps. Заявка и иные представленные одновременно с ней документы подаются в форме электронных документов. (Приложение № 7)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Ограничение участия отдельных категорий участников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принять участие в аукционе могут лица, отвечающие признакам покупателя в соответствии с статьей 5 Федерального закона от 21.12.01 № 178-ФЗ (Приложение № 5 к извещению)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Условия проведения процедуры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Форма подачи предложений о цене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Открытая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подачи заявок на участие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05.10.2020 09:00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окончания подачи заявок на участие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16.11.2020 18:00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рассмотрения заявок на участие (дата определения участников)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18.11.2020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начала торговой сессии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20.11.2020 08:00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Порядок определения победителя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Указан в регламенте ТС ЭП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Требуется заключение договора в электронной форме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Да</w:t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Возможность отзыва заявки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До формирования протокола об определении участников</w:t>
            </w: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Style w:val="block"/>
        <w:tblW w:w="5000" w:type="pct"/>
        <w:tblInd w:w="30" w:type="dxa"/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3223"/>
        <w:gridCol w:w="7519"/>
      </w:tblGrid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tblHeader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Документы и сведения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Проект договора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t>*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FF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7489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1 ЭЛЕКТРОННАЯ ФОРМА ЗАЯВКИ.doc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3 ПРОЕКТ ДОГОВОРА КУПЛИ-ПРОДАЖИ.doc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2 ПРОЕКТ ДОГОВОРА О ЗАДАТКЕ 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4 Порядок, сроки внесения и порядок, внесения задатка 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5 Покупатели муниципального имущества — копия (2).doc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6 Порядок подачи (приёма) и отзыва заявок.doc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7 Документооборот.doc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8 Покупатели муниципального имущества.doc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Приложение № 9 Приостановление, возобновление и отмена процедуры торгов.doc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Извещение.doc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РУ №58 от 28.09.2020.doc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№ извещений и нумерация процедур.docx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гараж Выписка из ЕГРН.pdf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зу гараж Выписка из ЕГРН.pdf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Информация о ранее проведенных торгах.docx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Образец платежного поручения для перечисления задатка (ТС Приватизация, аренда и продажа прав).xls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t>05.10.2020</w:t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W w:w="5000" w:type="pct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Дополнительные документы и сведения 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br/>
            </w:r>
          </w:p>
        </w:tc>
        <w:tc>
          <w:tcPr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tbl>
            <w:tblPr>
              <w:tblStyle w:val="d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5E0"/>
            </w:tblPr>
            <w:tblGrid>
              <w:gridCol w:w="447"/>
            </w:tblGrid>
            <w:tr>
              <w:tblPrEx>
                <w:tblCellSpacing w:w="15" w:type="dxa"/>
                <w:tblCellMar>
                  <w:top w:w="15" w:type="dxa"/>
                  <w:left w:w="15" w:type="dxa"/>
                  <w:bottom w:w="15" w:type="dxa"/>
                  <w:right w:w="15" w:type="dxa"/>
                </w:tblCellMar>
                <w:tblLook w:val="05E0"/>
              </w:tblPrEx>
              <w:trPr>
                <w:tblCellSpacing w:w="15" w:type="dxa"/>
              </w:trPr>
              <w:tc>
                <w:tcPr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noWrap w:val="0"/>
                  <w:tcMar>
                    <w:top w:w="22" w:type="dxa"/>
                    <w:left w:w="22" w:type="dxa"/>
                    <w:bottom w:w="22" w:type="dxa"/>
                    <w:right w:w="22" w:type="dxa"/>
                  </w:tcMar>
                  <w:vAlign w:val="top"/>
                  <w:hideMark/>
                </w:tcPr>
                <w:p>
                  <w:pPr>
                    <w:jc w:val="left"/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</w:pP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  <w:r>
                    <w:rPr>
                      <w:rFonts w:ascii="Times New Roman" w:eastAsia="Times New Roman" w:hAnsi="Times New Roman" w:cs="Times New Roman"/>
                      <w:b w:val="0"/>
                      <w:bCs w:val="0"/>
                      <w:i w:val="0"/>
                      <w:iCs w:val="0"/>
                      <w:smallCaps w:val="0"/>
                      <w:color w:val="000000"/>
                    </w:rPr>
                    <w:br/>
                  </w:r>
                </w:p>
              </w:tc>
            </w:tr>
          </w:tbl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</w:tbl>
    <w:p>
      <w:pPr>
        <w:rPr>
          <w:rFonts w:ascii="Times New Roman" w:eastAsia="Times New Roman" w:hAnsi="Times New Roman" w:cs="Times New Roman"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87"/>
        <w:gridCol w:w="9210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Данные подписи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Владелец сертификата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Тюнягина Юлия Игоревна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Организация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Город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Анадырь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E-mail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finotdel@chukotnet.ru</w:t>
            </w:r>
          </w:p>
        </w:tc>
      </w:tr>
    </w:tbl>
    <w:p>
      <w:pPr>
        <w:rPr>
          <w:vanish/>
        </w:rPr>
      </w:pPr>
    </w:p>
    <w:tbl>
      <w:tblPr>
        <w:tblCellSpacing w:w="15" w:type="dxa"/>
        <w:tblInd w:w="30" w:type="dxa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536"/>
        <w:gridCol w:w="8161"/>
      </w:tblGrid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gridSpan w:val="2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CCCCCC"/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t>Сведения о документе</w:t>
            </w:r>
            <w:r>
              <w:rPr>
                <w:rFonts w:ascii="Times New Roman" w:eastAsia="Times New Roman" w:hAnsi="Times New Roman" w:cs="Times New Roman"/>
                <w:b/>
                <w:bCs/>
                <w:i w:val="0"/>
                <w:iCs w:val="0"/>
                <w:smallCaps w:val="0"/>
                <w:color w:val="000000"/>
              </w:rPr>
              <w:br/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Статус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Обработан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Причина отклонения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создания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05.10.2020 02:13:49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обработки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05.10.2020 05:30:55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Автор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Тюнягина Юлия Игоревна (должность: Начальник Управления, действует на основании: Положения об Управлении)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Дата и время подписания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05.10.2020 05:30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ИНН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8709008942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КПП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870901001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Полное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Краткое наименование владельца документа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Управление финансов, экономики и имущественных отношений Администрации городского округа Анадырь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извещения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649445</w:t>
            </w:r>
          </w:p>
        </w:tc>
      </w:tr>
      <w:tr>
        <w:tblPrEx>
          <w:tblCellSpacing w:w="15" w:type="dxa"/>
          <w:tblInd w:w="30" w:type="dxa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 xml:space="preserve">Номер лота </w:t>
            </w:r>
          </w:p>
        </w:tc>
        <w:tc>
          <w:tcPr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noWrap w:val="0"/>
            <w:tcMar>
              <w:top w:w="22" w:type="dxa"/>
              <w:left w:w="22" w:type="dxa"/>
              <w:bottom w:w="22" w:type="dxa"/>
              <w:right w:w="22" w:type="dxa"/>
            </w:tcMar>
            <w:vAlign w:val="top"/>
            <w:hideMark/>
          </w:tcPr>
          <w:p>
            <w:pPr>
              <w:jc w:val="left"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</w:rPr>
              <w:t>1</w:t>
            </w:r>
          </w:p>
        </w:tc>
      </w:tr>
    </w:tbl>
    <w:p w:rsidR="00A77B3E"/>
    <w:sectPr>
      <w:pgSz w:w="11906" w:h="16838"/>
      <w:pgMar w:top="567" w:right="567" w:bottom="567" w:left="567" w:header="283" w:footer="283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ocumentProtection w:edit="readOnly" w:enforcement="1" w:cryptProviderType="rsaFull" w:cryptAlgorithmClass="hash" w:cryptAlgorithmType="typeAny" w:cryptAlgorithmSid="4" w:cryptSpinCount="50000" w:hash="wHCXi8K0snaZbOi7BXEoTMsNhYQ=&#10;" w:salt="hIqOl99kIr/+N0hyovEq7Q==&#10;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A77B3E"/>
    <w:rsid w:val="00CA2A55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customStyle="1" w:styleId="block">
    <w:name w:val="block"/>
    <w:basedOn w:val="TableNormal"/>
    <w:tblPr/>
  </w:style>
  <w:style w:type="table" w:customStyle="1" w:styleId="block-tbl">
    <w:name w:val="block-tbl "/>
    <w:basedOn w:val="TableNormal"/>
    <w:tblPr/>
  </w:style>
  <w:style w:type="table" w:customStyle="1" w:styleId="dt">
    <w:name w:val="dt"/>
    <w:basedOn w:val="TableNormal"/>
    <w:tblPr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8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